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7E349D">
        <w:rPr>
          <w:sz w:val="24"/>
          <w:szCs w:val="24"/>
        </w:rPr>
        <w:t>6</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7E349D">
        <w:rPr>
          <w:rFonts w:ascii="Times New Roman" w:hAnsi="Times New Roman"/>
          <w:b/>
          <w:sz w:val="24"/>
          <w:szCs w:val="24"/>
          <w:highlight w:val="yellow"/>
          <w:lang w:val="kk-KZ"/>
        </w:rPr>
        <w:t>05</w:t>
      </w:r>
      <w:r w:rsidR="001213A4" w:rsidRPr="00297514">
        <w:rPr>
          <w:rFonts w:ascii="Times New Roman" w:hAnsi="Times New Roman"/>
          <w:b/>
          <w:sz w:val="24"/>
          <w:szCs w:val="24"/>
          <w:highlight w:val="yellow"/>
          <w:lang w:val="kk-KZ"/>
        </w:rPr>
        <w:t xml:space="preserve"> /</w:t>
      </w:r>
      <w:r w:rsidR="00172BA8" w:rsidRPr="00297514">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7E349D">
      <w:pPr>
        <w:spacing w:after="0" w:line="240" w:lineRule="auto"/>
        <w:ind w:firstLine="708"/>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7E349D">
        <w:rPr>
          <w:rFonts w:ascii="Times New Roman" w:hAnsi="Times New Roman"/>
          <w:b/>
          <w:sz w:val="24"/>
          <w:szCs w:val="24"/>
          <w:highlight w:val="yellow"/>
          <w:lang w:val="kk-KZ"/>
        </w:rPr>
        <w:t>05</w:t>
      </w:r>
      <w:r w:rsidRPr="007E349D">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7E349D">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7E349D">
        <w:rPr>
          <w:rFonts w:ascii="Times New Roman" w:hAnsi="Times New Roman"/>
          <w:b/>
          <w:sz w:val="24"/>
          <w:szCs w:val="24"/>
          <w:highlight w:val="yellow"/>
          <w:lang w:val="kk-KZ"/>
        </w:rPr>
        <w:t>00</w:t>
      </w:r>
      <w:r w:rsidRPr="00D9317E">
        <w:rPr>
          <w:rFonts w:ascii="Times New Roman" w:hAnsi="Times New Roman"/>
          <w:b/>
          <w:sz w:val="24"/>
          <w:szCs w:val="24"/>
          <w:highlight w:val="yellow"/>
          <w:lang w:val="kk-KZ"/>
        </w:rPr>
        <w:t xml:space="preserve">-ден </w:t>
      </w:r>
      <w:r w:rsidR="007E349D">
        <w:rPr>
          <w:rFonts w:ascii="Times New Roman" w:hAnsi="Times New Roman"/>
          <w:b/>
          <w:sz w:val="24"/>
          <w:szCs w:val="24"/>
          <w:highlight w:val="yellow"/>
          <w:lang w:val="kk-KZ"/>
        </w:rPr>
        <w:t>12</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7E349D">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7E349D">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7E349D" w:rsidRPr="007E349D">
        <w:rPr>
          <w:rFonts w:ascii="Times New Roman" w:hAnsi="Times New Roman"/>
          <w:b/>
          <w:sz w:val="24"/>
          <w:szCs w:val="24"/>
          <w:highlight w:val="yellow"/>
          <w:lang w:val="kk-KZ"/>
        </w:rPr>
        <w:t>12</w:t>
      </w:r>
      <w:r w:rsidRPr="007E349D">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7E349D">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C52D0" w:rsidRPr="00BF3A90" w:rsidRDefault="00E46228" w:rsidP="009C52D0">
      <w:pPr>
        <w:spacing w:after="0"/>
        <w:rPr>
          <w:rFonts w:ascii="Times New Roman" w:hAnsi="Times New Roman"/>
          <w:sz w:val="24"/>
          <w:szCs w:val="24"/>
          <w:lang w:val="kk-KZ"/>
        </w:rPr>
      </w:pPr>
      <w:r>
        <w:rPr>
          <w:rFonts w:ascii="Times New Roman" w:hAnsi="Times New Roman"/>
          <w:sz w:val="24"/>
          <w:szCs w:val="24"/>
          <w:lang w:val="kk-KZ"/>
        </w:rPr>
        <w:t xml:space="preserve">Артемасова </w:t>
      </w:r>
      <w:r w:rsidR="00134A18">
        <w:rPr>
          <w:rFonts w:ascii="Times New Roman" w:hAnsi="Times New Roman"/>
          <w:sz w:val="24"/>
          <w:szCs w:val="24"/>
          <w:lang w:val="kk-KZ"/>
        </w:rPr>
        <w:t>Е</w:t>
      </w:r>
      <w:r>
        <w:rPr>
          <w:rFonts w:ascii="Times New Roman" w:hAnsi="Times New Roman"/>
          <w:sz w:val="24"/>
          <w:szCs w:val="24"/>
          <w:lang w:val="kk-KZ"/>
        </w:rPr>
        <w:t xml:space="preserve">. </w:t>
      </w:r>
      <w:r w:rsidR="00134A18">
        <w:rPr>
          <w:rFonts w:ascii="Times New Roman" w:hAnsi="Times New Roman"/>
          <w:sz w:val="24"/>
          <w:szCs w:val="24"/>
          <w:lang w:val="kk-KZ"/>
        </w:rPr>
        <w:t>Н</w:t>
      </w:r>
      <w:r>
        <w:rPr>
          <w:rFonts w:ascii="Times New Roman" w:hAnsi="Times New Roman"/>
          <w:sz w:val="24"/>
          <w:szCs w:val="24"/>
          <w:lang w:val="kk-KZ"/>
        </w:rPr>
        <w:t>.</w:t>
      </w:r>
      <w:r w:rsidR="009C52D0" w:rsidRPr="00BF3A90">
        <w:rPr>
          <w:rFonts w:ascii="Times New Roman" w:hAnsi="Times New Roman"/>
          <w:sz w:val="24"/>
          <w:szCs w:val="24"/>
          <w:lang w:val="kk-KZ"/>
        </w:rPr>
        <w:t xml:space="preserve"> – </w:t>
      </w:r>
      <w:r w:rsidRPr="00E46228">
        <w:rPr>
          <w:rFonts w:ascii="Times New Roman" w:hAnsi="Times New Roman"/>
          <w:sz w:val="24"/>
          <w:szCs w:val="24"/>
          <w:lang w:val="kk-KZ"/>
        </w:rPr>
        <w:t>клиникалық-диагностикалық зертхана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34A18" w:rsidRDefault="00134A18" w:rsidP="006075DF">
      <w:pPr>
        <w:spacing w:after="0"/>
        <w:jc w:val="center"/>
        <w:rPr>
          <w:rFonts w:ascii="Times New Roman" w:hAnsi="Times New Roman"/>
          <w:b/>
          <w:bCs/>
          <w:sz w:val="24"/>
          <w:szCs w:val="24"/>
          <w:lang w:val="kk-KZ"/>
        </w:rPr>
      </w:pPr>
    </w:p>
    <w:p w:rsidR="00134A18" w:rsidRPr="005D7DEA" w:rsidRDefault="00134A18"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7E349D">
        <w:rPr>
          <w:rFonts w:ascii="Times New Roman" w:hAnsi="Times New Roman"/>
          <w:b/>
          <w:bCs/>
          <w:sz w:val="24"/>
          <w:szCs w:val="24"/>
        </w:rPr>
        <w:t>6</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7E349D">
        <w:rPr>
          <w:rFonts w:ascii="Times New Roman" w:hAnsi="Times New Roman"/>
          <w:b/>
          <w:sz w:val="24"/>
          <w:szCs w:val="24"/>
          <w:highlight w:val="yellow"/>
        </w:rPr>
        <w:t>05</w:t>
      </w:r>
      <w:r w:rsidR="00BF3A90" w:rsidRPr="005161B4">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7E349D">
        <w:rPr>
          <w:rFonts w:ascii="Times New Roman" w:hAnsi="Times New Roman"/>
          <w:b/>
          <w:sz w:val="24"/>
          <w:szCs w:val="24"/>
          <w:highlight w:val="yellow"/>
        </w:rPr>
        <w:t>05</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7E349D">
        <w:rPr>
          <w:rFonts w:ascii="Times New Roman" w:hAnsi="Times New Roman"/>
          <w:b/>
          <w:sz w:val="24"/>
          <w:szCs w:val="24"/>
          <w:highlight w:val="yellow"/>
          <w:lang w:val="kk-KZ"/>
        </w:rPr>
        <w:t>09</w:t>
      </w:r>
      <w:r w:rsidR="00D9317E">
        <w:rPr>
          <w:rFonts w:ascii="Times New Roman" w:hAnsi="Times New Roman"/>
          <w:b/>
          <w:sz w:val="24"/>
          <w:szCs w:val="24"/>
          <w:highlight w:val="yellow"/>
          <w:lang w:val="kk-KZ"/>
        </w:rPr>
        <w:t xml:space="preserve"> ч. </w:t>
      </w:r>
      <w:r w:rsidR="007E349D">
        <w:rPr>
          <w:rFonts w:ascii="Times New Roman" w:hAnsi="Times New Roman"/>
          <w:b/>
          <w:sz w:val="24"/>
          <w:szCs w:val="24"/>
          <w:highlight w:val="yellow"/>
          <w:lang w:val="kk-KZ"/>
        </w:rPr>
        <w:t>0</w:t>
      </w:r>
      <w:r w:rsidR="0089388B">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7E349D">
        <w:rPr>
          <w:rFonts w:ascii="Times New Roman" w:hAnsi="Times New Roman"/>
          <w:b/>
          <w:sz w:val="24"/>
          <w:szCs w:val="24"/>
          <w:highlight w:val="yellow"/>
        </w:rPr>
        <w:t>12</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7E349D">
        <w:rPr>
          <w:rFonts w:ascii="Times New Roman" w:hAnsi="Times New Roman"/>
          <w:b/>
          <w:sz w:val="24"/>
          <w:szCs w:val="24"/>
          <w:highlight w:val="yellow"/>
        </w:rPr>
        <w:t>09</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7E349D">
        <w:rPr>
          <w:rFonts w:ascii="Times New Roman" w:hAnsi="Times New Roman"/>
          <w:b/>
          <w:sz w:val="24"/>
          <w:szCs w:val="24"/>
          <w:highlight w:val="yellow"/>
        </w:rPr>
        <w:t>3</w:t>
      </w:r>
      <w:r w:rsidR="00134A18">
        <w:rPr>
          <w:rFonts w:ascii="Times New Roman" w:hAnsi="Times New Roman"/>
          <w:b/>
          <w:sz w:val="24"/>
          <w:szCs w:val="24"/>
          <w:highlight w:val="yellow"/>
        </w:rPr>
        <w:t>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7E349D">
        <w:rPr>
          <w:rFonts w:ascii="Times New Roman" w:hAnsi="Times New Roman"/>
          <w:b/>
          <w:sz w:val="24"/>
          <w:szCs w:val="24"/>
          <w:highlight w:val="yellow"/>
        </w:rPr>
        <w:t>12</w:t>
      </w:r>
      <w:r w:rsidR="00C602A8" w:rsidRPr="00134A18">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7E349D">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7E349D">
        <w:rPr>
          <w:rFonts w:ascii="Times New Roman" w:hAnsi="Times New Roman"/>
          <w:b/>
          <w:sz w:val="24"/>
          <w:szCs w:val="24"/>
          <w:highlight w:val="yellow"/>
          <w:lang w:val="kk-KZ"/>
        </w:rPr>
        <w:t>10</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E46228" w:rsidP="00F7049D">
      <w:pPr>
        <w:spacing w:after="0"/>
        <w:rPr>
          <w:rFonts w:ascii="Times New Roman" w:hAnsi="Times New Roman"/>
          <w:sz w:val="24"/>
          <w:szCs w:val="24"/>
        </w:rPr>
      </w:pPr>
      <w:r>
        <w:rPr>
          <w:rFonts w:ascii="Times New Roman" w:hAnsi="Times New Roman"/>
          <w:sz w:val="24"/>
          <w:szCs w:val="24"/>
        </w:rPr>
        <w:t xml:space="preserve">Артемасова </w:t>
      </w:r>
      <w:r w:rsidR="00134A18">
        <w:rPr>
          <w:rFonts w:ascii="Times New Roman" w:hAnsi="Times New Roman"/>
          <w:sz w:val="24"/>
          <w:szCs w:val="24"/>
        </w:rPr>
        <w:t>Е</w:t>
      </w:r>
      <w:r>
        <w:rPr>
          <w:rFonts w:ascii="Times New Roman" w:hAnsi="Times New Roman"/>
          <w:sz w:val="24"/>
          <w:szCs w:val="24"/>
        </w:rPr>
        <w:t xml:space="preserve">. </w:t>
      </w:r>
      <w:r w:rsidR="00134A18">
        <w:rPr>
          <w:rFonts w:ascii="Times New Roman" w:hAnsi="Times New Roman"/>
          <w:sz w:val="24"/>
          <w:szCs w:val="24"/>
        </w:rPr>
        <w:t>Н</w:t>
      </w:r>
      <w:r>
        <w:rPr>
          <w:rFonts w:ascii="Times New Roman" w:hAnsi="Times New Roman"/>
          <w:sz w:val="24"/>
          <w:szCs w:val="24"/>
        </w:rPr>
        <w:t>.</w:t>
      </w:r>
      <w:r w:rsidR="00F7049D" w:rsidRPr="00BF3A90">
        <w:rPr>
          <w:rFonts w:ascii="Times New Roman" w:hAnsi="Times New Roman"/>
          <w:sz w:val="24"/>
          <w:szCs w:val="24"/>
        </w:rPr>
        <w:t>-</w:t>
      </w:r>
      <w:r w:rsidR="00F7049D"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7E349D">
        <w:rPr>
          <w:rFonts w:ascii="Times New Roman" w:hAnsi="Times New Roman"/>
          <w:i/>
          <w:sz w:val="20"/>
          <w:szCs w:val="20"/>
        </w:rPr>
        <w:t>6</w:t>
      </w:r>
      <w:r>
        <w:rPr>
          <w:rFonts w:ascii="Times New Roman" w:hAnsi="Times New Roman"/>
          <w:i/>
          <w:sz w:val="20"/>
          <w:szCs w:val="20"/>
        </w:rPr>
        <w:t xml:space="preserve">  </w:t>
      </w:r>
    </w:p>
    <w:p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4697" w:type="dxa"/>
        <w:tblInd w:w="1146" w:type="dxa"/>
        <w:tblLook w:val="04A0"/>
      </w:tblPr>
      <w:tblGrid>
        <w:gridCol w:w="529"/>
        <w:gridCol w:w="2518"/>
        <w:gridCol w:w="7681"/>
        <w:gridCol w:w="992"/>
        <w:gridCol w:w="850"/>
        <w:gridCol w:w="993"/>
        <w:gridCol w:w="1134"/>
      </w:tblGrid>
      <w:tr w:rsidR="00D96D49" w:rsidRPr="00D65E5B" w:rsidTr="007E349D">
        <w:tc>
          <w:tcPr>
            <w:tcW w:w="529"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w:t>
            </w:r>
          </w:p>
        </w:tc>
        <w:tc>
          <w:tcPr>
            <w:tcW w:w="2518"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Наименование</w:t>
            </w:r>
          </w:p>
        </w:tc>
        <w:tc>
          <w:tcPr>
            <w:tcW w:w="7681"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Характеристика</w:t>
            </w:r>
          </w:p>
        </w:tc>
        <w:tc>
          <w:tcPr>
            <w:tcW w:w="992"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Ед. изм.</w:t>
            </w:r>
          </w:p>
        </w:tc>
        <w:tc>
          <w:tcPr>
            <w:tcW w:w="850"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Кол-во</w:t>
            </w:r>
          </w:p>
        </w:tc>
        <w:tc>
          <w:tcPr>
            <w:tcW w:w="993"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Цена, тг.</w:t>
            </w:r>
          </w:p>
        </w:tc>
        <w:tc>
          <w:tcPr>
            <w:tcW w:w="1134"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Сумма, тг.</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1</w:t>
            </w:r>
          </w:p>
        </w:tc>
        <w:tc>
          <w:tcPr>
            <w:tcW w:w="2518"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Бумага термопринтерная 57*20*12</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мочевого анализатора Uriskan Optima 57*20*12</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100</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550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55000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2</w:t>
            </w:r>
          </w:p>
        </w:tc>
        <w:tc>
          <w:tcPr>
            <w:tcW w:w="2518"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Бумага термопринтерная  50*20*12</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гематологического анализатора ВС-3600 50*20*12</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850" w:type="dxa"/>
            <w:vAlign w:val="center"/>
          </w:tcPr>
          <w:p w:rsidR="00C83B65" w:rsidRPr="00626BDC" w:rsidRDefault="007E349D" w:rsidP="00C83B65">
            <w:pPr>
              <w:jc w:val="center"/>
              <w:rPr>
                <w:rFonts w:ascii="Times New Roman" w:hAnsi="Times New Roman"/>
                <w:color w:val="000000"/>
                <w:sz w:val="18"/>
                <w:szCs w:val="18"/>
              </w:rPr>
            </w:pPr>
            <w:r>
              <w:rPr>
                <w:rFonts w:ascii="Times New Roman" w:hAnsi="Times New Roman"/>
                <w:color w:val="000000"/>
                <w:sz w:val="18"/>
                <w:szCs w:val="18"/>
              </w:rPr>
              <w:t>100</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550</w:t>
            </w:r>
          </w:p>
        </w:tc>
        <w:tc>
          <w:tcPr>
            <w:tcW w:w="1134" w:type="dxa"/>
            <w:vAlign w:val="center"/>
          </w:tcPr>
          <w:p w:rsidR="00C83B65" w:rsidRPr="00C83B65" w:rsidRDefault="007E349D" w:rsidP="007E349D">
            <w:pPr>
              <w:jc w:val="center"/>
              <w:rPr>
                <w:rFonts w:ascii="Times New Roman" w:hAnsi="Times New Roman"/>
                <w:color w:val="000000"/>
                <w:sz w:val="18"/>
                <w:szCs w:val="18"/>
              </w:rPr>
            </w:pPr>
            <w:r>
              <w:rPr>
                <w:rFonts w:ascii="Times New Roman" w:hAnsi="Times New Roman"/>
                <w:color w:val="000000"/>
                <w:sz w:val="18"/>
                <w:szCs w:val="18"/>
              </w:rPr>
              <w:t>55000</w:t>
            </w:r>
          </w:p>
        </w:tc>
      </w:tr>
      <w:tr w:rsidR="00C83B65" w:rsidRPr="00C83B65" w:rsidTr="007E349D">
        <w:trPr>
          <w:trHeight w:val="525"/>
        </w:trPr>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3</w:t>
            </w:r>
          </w:p>
        </w:tc>
        <w:tc>
          <w:tcPr>
            <w:tcW w:w="2518"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Бумага фильтровальная</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Бумага фильтровальная беззольная, уп. - 1 кг 20*20см плотность: 75±3,0г/м2</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кг</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10</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6300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63000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4</w:t>
            </w:r>
          </w:p>
        </w:tc>
        <w:tc>
          <w:tcPr>
            <w:tcW w:w="2518"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Трилон Б</w:t>
            </w:r>
          </w:p>
        </w:tc>
        <w:tc>
          <w:tcPr>
            <w:tcW w:w="7681"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Трилон Б "ЧДА"(антикоагулянт для биохимических исследований)</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грамм</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500</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15000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15000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5</w:t>
            </w:r>
          </w:p>
        </w:tc>
        <w:tc>
          <w:tcPr>
            <w:tcW w:w="2518"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 xml:space="preserve"> Холестерин липопротеидов   высокой плотности (HDL) для биохим. Анализатора</w:t>
            </w:r>
          </w:p>
        </w:tc>
        <w:tc>
          <w:tcPr>
            <w:tcW w:w="7681"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Липопротеиды высокой плотности (HDL)для биохим. анализатора BS-200Е</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64600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64600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6</w:t>
            </w:r>
          </w:p>
        </w:tc>
        <w:tc>
          <w:tcPr>
            <w:tcW w:w="2518"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Холестерин  липопротеидов низкой плотности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 ЛПНП</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Набор для определения холестерина-ЛПНП прямое определение. Для биохимического анализатора </w:t>
            </w:r>
            <w:r w:rsidRPr="00626BDC">
              <w:rPr>
                <w:rFonts w:ascii="Times New Roman" w:hAnsi="Times New Roman"/>
                <w:color w:val="000000"/>
                <w:sz w:val="18"/>
                <w:szCs w:val="18"/>
                <w:lang w:val="en-US"/>
              </w:rPr>
              <w:t>BS</w:t>
            </w:r>
            <w:r w:rsidRPr="00626BDC">
              <w:rPr>
                <w:rFonts w:ascii="Times New Roman" w:hAnsi="Times New Roman"/>
                <w:color w:val="000000"/>
                <w:sz w:val="18"/>
                <w:szCs w:val="18"/>
              </w:rPr>
              <w:t>-200</w:t>
            </w:r>
            <w:r w:rsidRPr="00626BDC">
              <w:rPr>
                <w:rFonts w:ascii="Times New Roman" w:hAnsi="Times New Roman"/>
                <w:color w:val="000000"/>
                <w:sz w:val="18"/>
                <w:szCs w:val="18"/>
                <w:lang w:val="en-US"/>
              </w:rPr>
              <w:t>E</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850" w:type="dxa"/>
            <w:vAlign w:val="center"/>
          </w:tcPr>
          <w:p w:rsidR="00C83B65" w:rsidRPr="00626BDC" w:rsidRDefault="007E349D" w:rsidP="00C83B65">
            <w:pPr>
              <w:jc w:val="center"/>
              <w:rPr>
                <w:rFonts w:ascii="Times New Roman" w:hAnsi="Times New Roman"/>
                <w:color w:val="000000"/>
                <w:sz w:val="18"/>
                <w:szCs w:val="18"/>
              </w:rPr>
            </w:pPr>
            <w:r>
              <w:rPr>
                <w:rFonts w:ascii="Times New Roman" w:hAnsi="Times New Roman"/>
                <w:color w:val="000000"/>
                <w:sz w:val="18"/>
                <w:szCs w:val="18"/>
              </w:rPr>
              <w:t>1</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73550</w:t>
            </w:r>
          </w:p>
        </w:tc>
        <w:tc>
          <w:tcPr>
            <w:tcW w:w="1134" w:type="dxa"/>
            <w:vAlign w:val="center"/>
          </w:tcPr>
          <w:p w:rsidR="00C83B65" w:rsidRPr="00C83B65" w:rsidRDefault="007E349D" w:rsidP="00C83B65">
            <w:pPr>
              <w:jc w:val="center"/>
              <w:rPr>
                <w:rFonts w:ascii="Times New Roman" w:hAnsi="Times New Roman"/>
                <w:color w:val="000000"/>
                <w:sz w:val="18"/>
                <w:szCs w:val="18"/>
              </w:rPr>
            </w:pPr>
            <w:r>
              <w:rPr>
                <w:rFonts w:ascii="Times New Roman" w:hAnsi="Times New Roman"/>
                <w:color w:val="000000"/>
                <w:sz w:val="18"/>
                <w:szCs w:val="18"/>
              </w:rPr>
              <w:t>73550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7</w:t>
            </w:r>
          </w:p>
        </w:tc>
        <w:tc>
          <w:tcPr>
            <w:tcW w:w="2518"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Мультикалибратор</w:t>
            </w:r>
          </w:p>
        </w:tc>
        <w:tc>
          <w:tcPr>
            <w:tcW w:w="7681" w:type="dxa"/>
          </w:tcPr>
          <w:p w:rsidR="00C83B65" w:rsidRPr="00626BDC" w:rsidRDefault="00C83B65" w:rsidP="00C83B65">
            <w:pPr>
              <w:rPr>
                <w:rFonts w:ascii="Times New Roman" w:hAnsi="Times New Roman"/>
                <w:color w:val="000000"/>
                <w:sz w:val="18"/>
                <w:szCs w:val="18"/>
                <w:lang w:val="en-US"/>
              </w:rPr>
            </w:pPr>
            <w:r w:rsidRPr="00626BDC">
              <w:rPr>
                <w:rFonts w:ascii="Times New Roman" w:hAnsi="Times New Roman"/>
                <w:color w:val="000000"/>
                <w:sz w:val="18"/>
                <w:szCs w:val="18"/>
                <w:lang w:val="en-US"/>
              </w:rPr>
              <w:t>(ALB ALP ALT AMY AST DBVOX TB-BOX Ca TC CK Crea-Jaff Crea-S GLU-O GGT LDH-L Mg P TP TG  Urea UA CHE) 10*3</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160600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160600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8</w:t>
            </w:r>
          </w:p>
        </w:tc>
        <w:tc>
          <w:tcPr>
            <w:tcW w:w="2518"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1,6*5мл</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9</w:t>
            </w:r>
          </w:p>
        </w:tc>
        <w:tc>
          <w:tcPr>
            <w:tcW w:w="2518"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2,6*5мл</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10</w:t>
            </w:r>
          </w:p>
        </w:tc>
        <w:tc>
          <w:tcPr>
            <w:tcW w:w="2518"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Фалькон</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Пробирка полипропиленовая коническая с винтовой крышкой стерильная, объем 50мл цена деления 5мл. Наружный диаметр 28мм, высота 116,5мм</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шт</w:t>
            </w:r>
          </w:p>
        </w:tc>
        <w:tc>
          <w:tcPr>
            <w:tcW w:w="850"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500</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65</w:t>
            </w:r>
          </w:p>
        </w:tc>
        <w:tc>
          <w:tcPr>
            <w:tcW w:w="1134"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32500</w:t>
            </w:r>
          </w:p>
        </w:tc>
      </w:tr>
      <w:tr w:rsidR="00C83B65" w:rsidRPr="00C83B65" w:rsidTr="007E349D">
        <w:tc>
          <w:tcPr>
            <w:tcW w:w="529" w:type="dxa"/>
          </w:tcPr>
          <w:p w:rsidR="00C83B65" w:rsidRPr="00D65E5B" w:rsidRDefault="007E349D" w:rsidP="00552440">
            <w:pPr>
              <w:rPr>
                <w:rFonts w:ascii="Times New Roman" w:hAnsi="Times New Roman"/>
                <w:b/>
                <w:sz w:val="18"/>
                <w:szCs w:val="18"/>
              </w:rPr>
            </w:pPr>
            <w:r>
              <w:rPr>
                <w:rFonts w:ascii="Times New Roman" w:hAnsi="Times New Roman"/>
                <w:b/>
                <w:sz w:val="18"/>
                <w:szCs w:val="18"/>
              </w:rPr>
              <w:t>11</w:t>
            </w:r>
          </w:p>
        </w:tc>
        <w:tc>
          <w:tcPr>
            <w:tcW w:w="2518"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Петли бактериологические</w:t>
            </w:r>
          </w:p>
        </w:tc>
        <w:tc>
          <w:tcPr>
            <w:tcW w:w="7681"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С иглой, 1 мкл, стерильные. В упаковке 20 шт.</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упаковка</w:t>
            </w:r>
          </w:p>
        </w:tc>
        <w:tc>
          <w:tcPr>
            <w:tcW w:w="850" w:type="dxa"/>
            <w:vAlign w:val="center"/>
          </w:tcPr>
          <w:p w:rsidR="00C83B65" w:rsidRPr="00626BDC" w:rsidRDefault="007E349D" w:rsidP="00C83B65">
            <w:pPr>
              <w:jc w:val="center"/>
              <w:rPr>
                <w:rFonts w:ascii="Times New Roman" w:hAnsi="Times New Roman"/>
                <w:color w:val="000000"/>
                <w:sz w:val="18"/>
                <w:szCs w:val="18"/>
              </w:rPr>
            </w:pPr>
            <w:r>
              <w:rPr>
                <w:rFonts w:ascii="Times New Roman" w:hAnsi="Times New Roman"/>
                <w:color w:val="000000"/>
                <w:sz w:val="18"/>
                <w:szCs w:val="18"/>
              </w:rPr>
              <w:t>30</w:t>
            </w:r>
          </w:p>
        </w:tc>
        <w:tc>
          <w:tcPr>
            <w:tcW w:w="993"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2000</w:t>
            </w:r>
          </w:p>
        </w:tc>
        <w:tc>
          <w:tcPr>
            <w:tcW w:w="1134" w:type="dxa"/>
            <w:vAlign w:val="center"/>
          </w:tcPr>
          <w:p w:rsidR="00C83B65" w:rsidRPr="00C83B65" w:rsidRDefault="007E349D" w:rsidP="00C83B65">
            <w:pPr>
              <w:jc w:val="center"/>
              <w:rPr>
                <w:rFonts w:ascii="Times New Roman" w:hAnsi="Times New Roman"/>
                <w:color w:val="000000"/>
                <w:sz w:val="18"/>
                <w:szCs w:val="18"/>
              </w:rPr>
            </w:pPr>
            <w:r>
              <w:rPr>
                <w:rFonts w:ascii="Times New Roman" w:hAnsi="Times New Roman"/>
                <w:color w:val="000000"/>
                <w:sz w:val="18"/>
                <w:szCs w:val="18"/>
              </w:rPr>
              <w:t>60000</w:t>
            </w:r>
          </w:p>
        </w:tc>
      </w:tr>
      <w:tr w:rsidR="00310F8B" w:rsidRPr="00C83B65" w:rsidTr="007E349D">
        <w:tc>
          <w:tcPr>
            <w:tcW w:w="529" w:type="dxa"/>
          </w:tcPr>
          <w:p w:rsidR="00310F8B" w:rsidRDefault="007E349D" w:rsidP="00552440">
            <w:pPr>
              <w:rPr>
                <w:rFonts w:ascii="Times New Roman" w:hAnsi="Times New Roman"/>
                <w:b/>
                <w:sz w:val="18"/>
                <w:szCs w:val="18"/>
              </w:rPr>
            </w:pPr>
            <w:r>
              <w:rPr>
                <w:rFonts w:ascii="Times New Roman" w:hAnsi="Times New Roman"/>
                <w:b/>
                <w:sz w:val="18"/>
                <w:szCs w:val="18"/>
              </w:rPr>
              <w:t>12</w:t>
            </w:r>
          </w:p>
        </w:tc>
        <w:tc>
          <w:tcPr>
            <w:tcW w:w="2518" w:type="dxa"/>
          </w:tcPr>
          <w:p w:rsidR="00310F8B" w:rsidRPr="00626BDC" w:rsidRDefault="00310F8B" w:rsidP="00310F8B">
            <w:pPr>
              <w:rPr>
                <w:rFonts w:ascii="Times New Roman" w:hAnsi="Times New Roman"/>
                <w:color w:val="000000"/>
                <w:sz w:val="18"/>
                <w:szCs w:val="18"/>
              </w:rPr>
            </w:pPr>
            <w:r>
              <w:rPr>
                <w:rFonts w:ascii="Times New Roman" w:hAnsi="Times New Roman"/>
                <w:color w:val="000000"/>
                <w:sz w:val="18"/>
                <w:szCs w:val="18"/>
              </w:rPr>
              <w:t>Краситель по Циль-Нильсену</w:t>
            </w:r>
          </w:p>
        </w:tc>
        <w:tc>
          <w:tcPr>
            <w:tcW w:w="7681" w:type="dxa"/>
          </w:tcPr>
          <w:p w:rsidR="00310F8B" w:rsidRPr="00626BDC" w:rsidRDefault="00310F8B" w:rsidP="00C83B65">
            <w:pPr>
              <w:rPr>
                <w:rFonts w:ascii="Times New Roman" w:hAnsi="Times New Roman"/>
                <w:color w:val="000000"/>
                <w:sz w:val="18"/>
                <w:szCs w:val="18"/>
              </w:rPr>
            </w:pPr>
            <w:r>
              <w:rPr>
                <w:rFonts w:ascii="Times New Roman" w:hAnsi="Times New Roman"/>
                <w:color w:val="000000"/>
                <w:sz w:val="18"/>
                <w:szCs w:val="18"/>
              </w:rPr>
              <w:t>Набор красителей предназначен для диагностического окрашивания кислотоустойчивых бактерий</w:t>
            </w:r>
          </w:p>
        </w:tc>
        <w:tc>
          <w:tcPr>
            <w:tcW w:w="992" w:type="dxa"/>
            <w:vAlign w:val="center"/>
          </w:tcPr>
          <w:p w:rsidR="00310F8B" w:rsidRPr="00626BDC" w:rsidRDefault="00310F8B" w:rsidP="00C83B65">
            <w:pPr>
              <w:jc w:val="center"/>
              <w:rPr>
                <w:rFonts w:ascii="Times New Roman" w:hAnsi="Times New Roman"/>
                <w:color w:val="000000"/>
                <w:sz w:val="18"/>
                <w:szCs w:val="18"/>
              </w:rPr>
            </w:pPr>
            <w:r>
              <w:rPr>
                <w:rFonts w:ascii="Times New Roman" w:hAnsi="Times New Roman"/>
                <w:color w:val="000000"/>
                <w:sz w:val="18"/>
                <w:szCs w:val="18"/>
              </w:rPr>
              <w:t>набор</w:t>
            </w:r>
          </w:p>
        </w:tc>
        <w:tc>
          <w:tcPr>
            <w:tcW w:w="850" w:type="dxa"/>
            <w:vAlign w:val="center"/>
          </w:tcPr>
          <w:p w:rsidR="00310F8B" w:rsidRPr="00626BDC" w:rsidRDefault="007E349D" w:rsidP="00C83B65">
            <w:pPr>
              <w:jc w:val="center"/>
              <w:rPr>
                <w:rFonts w:ascii="Times New Roman" w:hAnsi="Times New Roman"/>
                <w:color w:val="000000"/>
                <w:sz w:val="18"/>
                <w:szCs w:val="18"/>
              </w:rPr>
            </w:pPr>
            <w:r>
              <w:rPr>
                <w:rFonts w:ascii="Times New Roman" w:hAnsi="Times New Roman"/>
                <w:color w:val="000000"/>
                <w:sz w:val="18"/>
                <w:szCs w:val="18"/>
              </w:rPr>
              <w:t>2</w:t>
            </w:r>
          </w:p>
        </w:tc>
        <w:tc>
          <w:tcPr>
            <w:tcW w:w="993" w:type="dxa"/>
            <w:vAlign w:val="center"/>
          </w:tcPr>
          <w:p w:rsidR="00310F8B" w:rsidRPr="00C83B65" w:rsidRDefault="00310F8B" w:rsidP="00C83B65">
            <w:pPr>
              <w:jc w:val="center"/>
              <w:rPr>
                <w:rFonts w:ascii="Times New Roman" w:hAnsi="Times New Roman"/>
                <w:color w:val="000000"/>
                <w:sz w:val="18"/>
                <w:szCs w:val="18"/>
              </w:rPr>
            </w:pPr>
            <w:r>
              <w:rPr>
                <w:rFonts w:ascii="Times New Roman" w:hAnsi="Times New Roman"/>
                <w:color w:val="000000"/>
                <w:sz w:val="18"/>
                <w:szCs w:val="18"/>
              </w:rPr>
              <w:t>5000</w:t>
            </w:r>
          </w:p>
        </w:tc>
        <w:tc>
          <w:tcPr>
            <w:tcW w:w="1134" w:type="dxa"/>
            <w:vAlign w:val="center"/>
          </w:tcPr>
          <w:p w:rsidR="00310F8B" w:rsidRPr="00C83B65" w:rsidRDefault="007E349D" w:rsidP="00C83B65">
            <w:pPr>
              <w:jc w:val="center"/>
              <w:rPr>
                <w:rFonts w:ascii="Times New Roman" w:hAnsi="Times New Roman"/>
                <w:color w:val="000000"/>
                <w:sz w:val="18"/>
                <w:szCs w:val="18"/>
              </w:rPr>
            </w:pPr>
            <w:r>
              <w:rPr>
                <w:rFonts w:ascii="Times New Roman" w:hAnsi="Times New Roman"/>
                <w:color w:val="000000"/>
                <w:sz w:val="18"/>
                <w:szCs w:val="18"/>
              </w:rPr>
              <w:t>10000</w:t>
            </w:r>
          </w:p>
        </w:tc>
      </w:tr>
      <w:tr w:rsidR="00F3448B" w:rsidRPr="00D65E5B" w:rsidTr="007E349D">
        <w:tc>
          <w:tcPr>
            <w:tcW w:w="3047" w:type="dxa"/>
            <w:gridSpan w:val="2"/>
          </w:tcPr>
          <w:p w:rsidR="00F3448B" w:rsidRPr="00D65E5B" w:rsidRDefault="00F3448B" w:rsidP="007E349D">
            <w:pPr>
              <w:jc w:val="center"/>
              <w:rPr>
                <w:rFonts w:ascii="Times New Roman" w:hAnsi="Times New Roman"/>
                <w:b/>
                <w:sz w:val="18"/>
                <w:szCs w:val="18"/>
              </w:rPr>
            </w:pPr>
            <w:r w:rsidRPr="00D65E5B">
              <w:rPr>
                <w:rFonts w:ascii="Times New Roman" w:hAnsi="Times New Roman"/>
                <w:b/>
                <w:sz w:val="18"/>
                <w:szCs w:val="18"/>
              </w:rPr>
              <w:t>ИТОГО</w:t>
            </w:r>
          </w:p>
        </w:tc>
        <w:tc>
          <w:tcPr>
            <w:tcW w:w="7681" w:type="dxa"/>
            <w:vAlign w:val="center"/>
          </w:tcPr>
          <w:p w:rsidR="00F3448B" w:rsidRPr="00D65E5B" w:rsidRDefault="00F3448B" w:rsidP="00B85445">
            <w:pPr>
              <w:rPr>
                <w:rFonts w:ascii="Times New Roman" w:hAnsi="Times New Roman"/>
                <w:b/>
                <w:sz w:val="18"/>
                <w:szCs w:val="18"/>
              </w:rPr>
            </w:pPr>
          </w:p>
        </w:tc>
        <w:tc>
          <w:tcPr>
            <w:tcW w:w="3969" w:type="dxa"/>
            <w:gridSpan w:val="4"/>
            <w:vAlign w:val="center"/>
          </w:tcPr>
          <w:p w:rsidR="00F3448B" w:rsidRPr="00D65E5B" w:rsidRDefault="007E349D" w:rsidP="00310F8B">
            <w:pPr>
              <w:jc w:val="right"/>
              <w:rPr>
                <w:rFonts w:ascii="Times New Roman" w:hAnsi="Times New Roman"/>
                <w:b/>
                <w:sz w:val="18"/>
                <w:szCs w:val="18"/>
              </w:rPr>
            </w:pPr>
            <w:r>
              <w:rPr>
                <w:rFonts w:ascii="Times New Roman" w:hAnsi="Times New Roman"/>
                <w:b/>
                <w:sz w:val="18"/>
                <w:szCs w:val="18"/>
              </w:rPr>
              <w:t>985 250</w:t>
            </w:r>
          </w:p>
        </w:tc>
      </w:tr>
    </w:tbl>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7E349D">
        <w:rPr>
          <w:rFonts w:ascii="Times New Roman" w:hAnsi="Times New Roman"/>
          <w:i/>
          <w:sz w:val="20"/>
          <w:szCs w:val="20"/>
        </w:rPr>
        <w:t>6</w:t>
      </w:r>
      <w:r w:rsidR="00D65E5B">
        <w:rPr>
          <w:rFonts w:ascii="Times New Roman" w:hAnsi="Times New Roman"/>
          <w:i/>
          <w:sz w:val="20"/>
          <w:szCs w:val="20"/>
        </w:rPr>
        <w:t xml:space="preserve">  </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4555" w:type="dxa"/>
        <w:tblInd w:w="1146" w:type="dxa"/>
        <w:tblLook w:val="04A0"/>
      </w:tblPr>
      <w:tblGrid>
        <w:gridCol w:w="525"/>
        <w:gridCol w:w="2497"/>
        <w:gridCol w:w="4403"/>
        <w:gridCol w:w="913"/>
        <w:gridCol w:w="988"/>
        <w:gridCol w:w="1271"/>
        <w:gridCol w:w="1412"/>
        <w:gridCol w:w="1273"/>
        <w:gridCol w:w="1273"/>
      </w:tblGrid>
      <w:tr w:rsidR="005161B4" w:rsidRPr="005161B4" w:rsidTr="00310F8B">
        <w:tc>
          <w:tcPr>
            <w:tcW w:w="525"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w:t>
            </w:r>
          </w:p>
        </w:tc>
        <w:tc>
          <w:tcPr>
            <w:tcW w:w="2497"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Наименование</w:t>
            </w:r>
          </w:p>
        </w:tc>
        <w:tc>
          <w:tcPr>
            <w:tcW w:w="4403"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Характеристика</w:t>
            </w:r>
          </w:p>
        </w:tc>
        <w:tc>
          <w:tcPr>
            <w:tcW w:w="913"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Ед. изм.</w:t>
            </w:r>
          </w:p>
        </w:tc>
        <w:tc>
          <w:tcPr>
            <w:tcW w:w="988"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Кол-во</w:t>
            </w:r>
          </w:p>
        </w:tc>
        <w:tc>
          <w:tcPr>
            <w:tcW w:w="1271" w:type="dxa"/>
            <w:vAlign w:val="center"/>
          </w:tcPr>
          <w:p w:rsidR="005161B4" w:rsidRPr="005161B4" w:rsidRDefault="005E17E6" w:rsidP="005161B4">
            <w:pPr>
              <w:jc w:val="center"/>
              <w:rPr>
                <w:rFonts w:ascii="Times New Roman" w:hAnsi="Times New Roman"/>
                <w:b/>
              </w:rPr>
            </w:pPr>
            <w:r>
              <w:rPr>
                <w:rFonts w:ascii="Times New Roman" w:hAnsi="Times New Roman"/>
                <w:b/>
              </w:rPr>
              <w:t>апрель</w:t>
            </w:r>
          </w:p>
        </w:tc>
        <w:tc>
          <w:tcPr>
            <w:tcW w:w="1412" w:type="dxa"/>
            <w:vAlign w:val="center"/>
          </w:tcPr>
          <w:p w:rsidR="005161B4" w:rsidRPr="005161B4" w:rsidRDefault="005161B4" w:rsidP="005161B4">
            <w:pPr>
              <w:jc w:val="center"/>
              <w:rPr>
                <w:rFonts w:ascii="Times New Roman" w:hAnsi="Times New Roman"/>
                <w:b/>
              </w:rPr>
            </w:pPr>
            <w:r>
              <w:rPr>
                <w:rFonts w:ascii="Times New Roman" w:hAnsi="Times New Roman"/>
                <w:b/>
              </w:rPr>
              <w:t>2 квартал</w:t>
            </w:r>
          </w:p>
        </w:tc>
        <w:tc>
          <w:tcPr>
            <w:tcW w:w="1273" w:type="dxa"/>
            <w:vAlign w:val="center"/>
          </w:tcPr>
          <w:p w:rsidR="005161B4" w:rsidRPr="005161B4" w:rsidRDefault="005161B4" w:rsidP="005161B4">
            <w:pPr>
              <w:jc w:val="center"/>
              <w:rPr>
                <w:rFonts w:ascii="Times New Roman" w:hAnsi="Times New Roman"/>
                <w:b/>
              </w:rPr>
            </w:pPr>
            <w:r>
              <w:rPr>
                <w:rFonts w:ascii="Times New Roman" w:hAnsi="Times New Roman"/>
                <w:b/>
              </w:rPr>
              <w:t>3 квартал</w:t>
            </w:r>
          </w:p>
        </w:tc>
        <w:tc>
          <w:tcPr>
            <w:tcW w:w="1273" w:type="dxa"/>
            <w:vAlign w:val="center"/>
          </w:tcPr>
          <w:p w:rsidR="005161B4" w:rsidRPr="005161B4" w:rsidRDefault="005161B4" w:rsidP="005161B4">
            <w:pPr>
              <w:jc w:val="center"/>
              <w:rPr>
                <w:rFonts w:ascii="Times New Roman" w:hAnsi="Times New Roman"/>
                <w:b/>
              </w:rPr>
            </w:pPr>
            <w:r>
              <w:rPr>
                <w:rFonts w:ascii="Times New Roman" w:hAnsi="Times New Roman"/>
                <w:b/>
              </w:rPr>
              <w:t>4 квартал</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1</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Бумага термопринтерная 57*20*12</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мочевого анализатора Uriskan Optima 57*20*12</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100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2</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Бумага термопринтерная  50*20*12</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гематологического анализатора ВС-3600 50*20*12</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988" w:type="dxa"/>
            <w:vAlign w:val="center"/>
          </w:tcPr>
          <w:p w:rsidR="005E17E6" w:rsidRPr="00626BDC" w:rsidRDefault="007E349D" w:rsidP="004F19DE">
            <w:pPr>
              <w:jc w:val="center"/>
              <w:rPr>
                <w:rFonts w:ascii="Times New Roman" w:hAnsi="Times New Roman"/>
                <w:color w:val="000000"/>
                <w:sz w:val="18"/>
                <w:szCs w:val="18"/>
              </w:rPr>
            </w:pPr>
            <w:r>
              <w:rPr>
                <w:rFonts w:ascii="Times New Roman" w:hAnsi="Times New Roman"/>
                <w:color w:val="000000"/>
                <w:sz w:val="18"/>
                <w:szCs w:val="18"/>
              </w:rPr>
              <w:t>100</w:t>
            </w:r>
          </w:p>
        </w:tc>
        <w:tc>
          <w:tcPr>
            <w:tcW w:w="1271"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25</w:t>
            </w:r>
          </w:p>
        </w:tc>
        <w:tc>
          <w:tcPr>
            <w:tcW w:w="1412"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25</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3</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Бумага фильтровальная</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Бумага фильтровальная беззольная, уп. - 1 кг 20*20см плотность: 75±3,0г/м2</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кг</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4</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Трилон Б</w:t>
            </w:r>
          </w:p>
        </w:tc>
        <w:tc>
          <w:tcPr>
            <w:tcW w:w="4403"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Трилон Б "ЧДА"(антикоагулянт для биохимических исследований)</w:t>
            </w:r>
          </w:p>
        </w:tc>
        <w:tc>
          <w:tcPr>
            <w:tcW w:w="913" w:type="dxa"/>
            <w:vAlign w:val="center"/>
          </w:tcPr>
          <w:p w:rsidR="005E17E6" w:rsidRPr="00626BDC" w:rsidRDefault="005E17E6" w:rsidP="004F19DE">
            <w:pPr>
              <w:jc w:val="center"/>
              <w:rPr>
                <w:rFonts w:ascii="Times New Roman" w:hAnsi="Times New Roman"/>
                <w:color w:val="000000"/>
                <w:sz w:val="18"/>
                <w:szCs w:val="18"/>
              </w:rPr>
            </w:pPr>
            <w:r>
              <w:rPr>
                <w:rFonts w:ascii="Times New Roman" w:hAnsi="Times New Roman"/>
                <w:color w:val="000000"/>
                <w:sz w:val="18"/>
                <w:szCs w:val="18"/>
              </w:rPr>
              <w:t>кг</w:t>
            </w:r>
          </w:p>
        </w:tc>
        <w:tc>
          <w:tcPr>
            <w:tcW w:w="988" w:type="dxa"/>
            <w:vAlign w:val="center"/>
          </w:tcPr>
          <w:p w:rsidR="005E17E6" w:rsidRPr="00626BDC" w:rsidRDefault="005E17E6" w:rsidP="004F19DE">
            <w:pPr>
              <w:jc w:val="center"/>
              <w:rPr>
                <w:rFonts w:ascii="Times New Roman" w:hAnsi="Times New Roman"/>
                <w:color w:val="000000"/>
                <w:sz w:val="18"/>
                <w:szCs w:val="18"/>
              </w:rPr>
            </w:pPr>
            <w:r>
              <w:rPr>
                <w:rFonts w:ascii="Times New Roman" w:hAnsi="Times New Roman"/>
                <w:color w:val="000000"/>
                <w:sz w:val="18"/>
                <w:szCs w:val="18"/>
              </w:rPr>
              <w:t>0,5</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0,5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5</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 xml:space="preserve"> Холестерин липопротеидов   высокой плотности (HDL) для биохим. Анализатора</w:t>
            </w:r>
          </w:p>
        </w:tc>
        <w:tc>
          <w:tcPr>
            <w:tcW w:w="4403"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Липопротеиды высокой плотности (HDL)для биохим. анализатора BS-200Е</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6</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Холестерин  липопротеидов низкой плотности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 ЛПНП</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Набор для определения холестерина-ЛПНП прямое определение. Для биохимического анализатора </w:t>
            </w:r>
            <w:r w:rsidRPr="00626BDC">
              <w:rPr>
                <w:rFonts w:ascii="Times New Roman" w:hAnsi="Times New Roman"/>
                <w:color w:val="000000"/>
                <w:sz w:val="18"/>
                <w:szCs w:val="18"/>
                <w:lang w:val="en-US"/>
              </w:rPr>
              <w:t>BS</w:t>
            </w:r>
            <w:r w:rsidRPr="00626BDC">
              <w:rPr>
                <w:rFonts w:ascii="Times New Roman" w:hAnsi="Times New Roman"/>
                <w:color w:val="000000"/>
                <w:sz w:val="18"/>
                <w:szCs w:val="18"/>
              </w:rPr>
              <w:t>-200</w:t>
            </w:r>
            <w:r w:rsidRPr="00626BDC">
              <w:rPr>
                <w:rFonts w:ascii="Times New Roman" w:hAnsi="Times New Roman"/>
                <w:color w:val="000000"/>
                <w:sz w:val="18"/>
                <w:szCs w:val="18"/>
                <w:lang w:val="en-US"/>
              </w:rPr>
              <w:t>E</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7E349D" w:rsidP="004F19DE">
            <w:pPr>
              <w:jc w:val="center"/>
              <w:rPr>
                <w:rFonts w:ascii="Times New Roman" w:hAnsi="Times New Roman"/>
                <w:color w:val="000000"/>
                <w:sz w:val="18"/>
                <w:szCs w:val="18"/>
              </w:rPr>
            </w:pPr>
            <w:r>
              <w:rPr>
                <w:rFonts w:ascii="Times New Roman" w:hAnsi="Times New Roman"/>
                <w:color w:val="000000"/>
                <w:sz w:val="18"/>
                <w:szCs w:val="18"/>
              </w:rPr>
              <w:t>1</w:t>
            </w:r>
          </w:p>
        </w:tc>
        <w:tc>
          <w:tcPr>
            <w:tcW w:w="1271"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7</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Мультикалибратор</w:t>
            </w:r>
          </w:p>
        </w:tc>
        <w:tc>
          <w:tcPr>
            <w:tcW w:w="4403" w:type="dxa"/>
          </w:tcPr>
          <w:p w:rsidR="005E17E6" w:rsidRPr="00626BDC" w:rsidRDefault="005E17E6" w:rsidP="004F19DE">
            <w:pPr>
              <w:rPr>
                <w:rFonts w:ascii="Times New Roman" w:hAnsi="Times New Roman"/>
                <w:color w:val="000000"/>
                <w:sz w:val="18"/>
                <w:szCs w:val="18"/>
                <w:lang w:val="en-US"/>
              </w:rPr>
            </w:pPr>
            <w:r w:rsidRPr="00626BDC">
              <w:rPr>
                <w:rFonts w:ascii="Times New Roman" w:hAnsi="Times New Roman"/>
                <w:color w:val="000000"/>
                <w:sz w:val="18"/>
                <w:szCs w:val="18"/>
                <w:lang w:val="en-US"/>
              </w:rPr>
              <w:t>(ALB ALP ALT AMY AST DBVOX TB-BOX Ca TC CK Crea-Jaff Crea-S GLU-O GGT LDH-L Mg P TP TG  Urea UA CHE) 10*3</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8</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1,6*5мл</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9</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2,6*5мл</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lastRenderedPageBreak/>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lastRenderedPageBreak/>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lastRenderedPageBreak/>
              <w:t>10</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Фалькон</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Пробирка полипропиленовая коническая с винтовой крышкой стерильная, объем 50мл цена деления 5мл. Наружный диаметр 28мм, высота 116,5мм</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шт</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500</w:t>
            </w:r>
          </w:p>
        </w:tc>
        <w:tc>
          <w:tcPr>
            <w:tcW w:w="1271"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250</w:t>
            </w:r>
          </w:p>
        </w:tc>
        <w:tc>
          <w:tcPr>
            <w:tcW w:w="1412"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250</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7E349D" w:rsidP="005161B4">
            <w:pPr>
              <w:rPr>
                <w:rFonts w:ascii="Times New Roman" w:hAnsi="Times New Roman"/>
                <w:b/>
              </w:rPr>
            </w:pPr>
            <w:r>
              <w:rPr>
                <w:rFonts w:ascii="Times New Roman" w:hAnsi="Times New Roman"/>
                <w:b/>
              </w:rPr>
              <w:t>11</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Петли бактериологические</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С иглой, 1 мкл, стерильные. В упаковке 20 шт.</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упаковка</w:t>
            </w:r>
          </w:p>
        </w:tc>
        <w:tc>
          <w:tcPr>
            <w:tcW w:w="988" w:type="dxa"/>
            <w:vAlign w:val="center"/>
          </w:tcPr>
          <w:p w:rsidR="005E17E6" w:rsidRPr="00626BDC" w:rsidRDefault="007E349D" w:rsidP="004F19DE">
            <w:pPr>
              <w:jc w:val="center"/>
              <w:rPr>
                <w:rFonts w:ascii="Times New Roman" w:hAnsi="Times New Roman"/>
                <w:color w:val="000000"/>
                <w:sz w:val="18"/>
                <w:szCs w:val="18"/>
              </w:rPr>
            </w:pPr>
            <w:r>
              <w:rPr>
                <w:rFonts w:ascii="Times New Roman" w:hAnsi="Times New Roman"/>
                <w:color w:val="000000"/>
                <w:sz w:val="18"/>
                <w:szCs w:val="18"/>
              </w:rPr>
              <w:t>30</w:t>
            </w:r>
          </w:p>
        </w:tc>
        <w:tc>
          <w:tcPr>
            <w:tcW w:w="1271"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30</w:t>
            </w:r>
          </w:p>
        </w:tc>
        <w:tc>
          <w:tcPr>
            <w:tcW w:w="1412"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7E349D"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r>
      <w:tr w:rsidR="00310F8B" w:rsidRPr="005161B4" w:rsidTr="00310F8B">
        <w:tc>
          <w:tcPr>
            <w:tcW w:w="525" w:type="dxa"/>
          </w:tcPr>
          <w:p w:rsidR="00310F8B" w:rsidRDefault="007E349D" w:rsidP="005161B4">
            <w:pPr>
              <w:rPr>
                <w:rFonts w:ascii="Times New Roman" w:hAnsi="Times New Roman"/>
                <w:b/>
              </w:rPr>
            </w:pPr>
            <w:r>
              <w:rPr>
                <w:rFonts w:ascii="Times New Roman" w:hAnsi="Times New Roman"/>
                <w:b/>
              </w:rPr>
              <w:t>12</w:t>
            </w:r>
          </w:p>
        </w:tc>
        <w:tc>
          <w:tcPr>
            <w:tcW w:w="2497" w:type="dxa"/>
          </w:tcPr>
          <w:p w:rsidR="00310F8B" w:rsidRPr="00626BDC" w:rsidRDefault="00310F8B" w:rsidP="00990821">
            <w:pPr>
              <w:rPr>
                <w:rFonts w:ascii="Times New Roman" w:hAnsi="Times New Roman"/>
                <w:color w:val="000000"/>
                <w:sz w:val="18"/>
                <w:szCs w:val="18"/>
              </w:rPr>
            </w:pPr>
            <w:r>
              <w:rPr>
                <w:rFonts w:ascii="Times New Roman" w:hAnsi="Times New Roman"/>
                <w:color w:val="000000"/>
                <w:sz w:val="18"/>
                <w:szCs w:val="18"/>
              </w:rPr>
              <w:t>Краситель по Циль-Нильсену</w:t>
            </w:r>
          </w:p>
        </w:tc>
        <w:tc>
          <w:tcPr>
            <w:tcW w:w="4403" w:type="dxa"/>
          </w:tcPr>
          <w:p w:rsidR="00310F8B" w:rsidRPr="00626BDC" w:rsidRDefault="00310F8B" w:rsidP="00990821">
            <w:pPr>
              <w:rPr>
                <w:rFonts w:ascii="Times New Roman" w:hAnsi="Times New Roman"/>
                <w:color w:val="000000"/>
                <w:sz w:val="18"/>
                <w:szCs w:val="18"/>
              </w:rPr>
            </w:pPr>
            <w:r>
              <w:rPr>
                <w:rFonts w:ascii="Times New Roman" w:hAnsi="Times New Roman"/>
                <w:color w:val="000000"/>
                <w:sz w:val="18"/>
                <w:szCs w:val="18"/>
              </w:rPr>
              <w:t>Набор красителей предназначен для диагностического окрашивания кислотоустойчивых бактерий</w:t>
            </w:r>
          </w:p>
        </w:tc>
        <w:tc>
          <w:tcPr>
            <w:tcW w:w="913" w:type="dxa"/>
            <w:vAlign w:val="center"/>
          </w:tcPr>
          <w:p w:rsidR="00310F8B" w:rsidRPr="00626BDC" w:rsidRDefault="00310F8B" w:rsidP="00990821">
            <w:pPr>
              <w:jc w:val="center"/>
              <w:rPr>
                <w:rFonts w:ascii="Times New Roman" w:hAnsi="Times New Roman"/>
                <w:color w:val="000000"/>
                <w:sz w:val="18"/>
                <w:szCs w:val="18"/>
              </w:rPr>
            </w:pPr>
            <w:r>
              <w:rPr>
                <w:rFonts w:ascii="Times New Roman" w:hAnsi="Times New Roman"/>
                <w:color w:val="000000"/>
                <w:sz w:val="18"/>
                <w:szCs w:val="18"/>
              </w:rPr>
              <w:t>набор</w:t>
            </w:r>
          </w:p>
        </w:tc>
        <w:tc>
          <w:tcPr>
            <w:tcW w:w="988" w:type="dxa"/>
            <w:vAlign w:val="center"/>
          </w:tcPr>
          <w:p w:rsidR="00310F8B" w:rsidRPr="00626BDC" w:rsidRDefault="007E349D" w:rsidP="00990821">
            <w:pPr>
              <w:jc w:val="center"/>
              <w:rPr>
                <w:rFonts w:ascii="Times New Roman" w:hAnsi="Times New Roman"/>
                <w:color w:val="000000"/>
                <w:sz w:val="18"/>
                <w:szCs w:val="18"/>
              </w:rPr>
            </w:pPr>
            <w:r>
              <w:rPr>
                <w:rFonts w:ascii="Times New Roman" w:hAnsi="Times New Roman"/>
                <w:color w:val="000000"/>
                <w:sz w:val="18"/>
                <w:szCs w:val="18"/>
              </w:rPr>
              <w:t>2</w:t>
            </w:r>
          </w:p>
        </w:tc>
        <w:tc>
          <w:tcPr>
            <w:tcW w:w="1271"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2</w:t>
            </w:r>
          </w:p>
        </w:tc>
        <w:tc>
          <w:tcPr>
            <w:tcW w:w="1412"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310F8B" w:rsidRDefault="007E349D"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Default="006075DF" w:rsidP="006075DF">
      <w:pPr>
        <w:pStyle w:val="a3"/>
        <w:spacing w:before="0" w:beforeAutospacing="0" w:after="0" w:afterAutospacing="0"/>
        <w:ind w:left="426"/>
        <w:jc w:val="both"/>
      </w:pPr>
      <w:r w:rsidRPr="005D7DEA">
        <w:t xml:space="preserve">    </w:t>
      </w: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Pr="005D7DEA" w:rsidRDefault="0089388B" w:rsidP="006075DF">
      <w:pPr>
        <w:pStyle w:val="a3"/>
        <w:spacing w:before="0" w:beforeAutospacing="0" w:after="0" w:afterAutospacing="0"/>
        <w:ind w:left="426"/>
        <w:jc w:val="both"/>
        <w:rPr>
          <w:lang w:val="kk-KZ"/>
        </w:rPr>
      </w:pP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9388B">
        <w:rPr>
          <w:rFonts w:ascii="Times New Roman" w:hAnsi="Times New Roman"/>
          <w:i/>
          <w:sz w:val="20"/>
          <w:szCs w:val="20"/>
        </w:rPr>
        <w:t>5</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532" w:rsidRDefault="00876532" w:rsidP="004B5FBC">
      <w:pPr>
        <w:spacing w:after="0" w:line="240" w:lineRule="auto"/>
      </w:pPr>
      <w:r>
        <w:separator/>
      </w:r>
    </w:p>
  </w:endnote>
  <w:endnote w:type="continuationSeparator" w:id="1">
    <w:p w:rsidR="00876532" w:rsidRDefault="0087653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532" w:rsidRDefault="00876532" w:rsidP="004B5FBC">
      <w:pPr>
        <w:spacing w:after="0" w:line="240" w:lineRule="auto"/>
      </w:pPr>
      <w:r>
        <w:separator/>
      </w:r>
    </w:p>
  </w:footnote>
  <w:footnote w:type="continuationSeparator" w:id="1">
    <w:p w:rsidR="00876532" w:rsidRDefault="0087653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17E6"/>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49D"/>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2024-03-13T12:00:00Z</cp:lastPrinted>
  <dcterms:created xsi:type="dcterms:W3CDTF">2024-04-04T09:56:00Z</dcterms:created>
  <dcterms:modified xsi:type="dcterms:W3CDTF">2024-04-04T09:56:00Z</dcterms:modified>
</cp:coreProperties>
</file>