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9A17D9">
        <w:rPr>
          <w:sz w:val="28"/>
          <w:szCs w:val="28"/>
          <w:lang w:val="kk-KZ"/>
        </w:rPr>
        <w:t>37</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0080471F" w:rsidRPr="003778CF">
        <w:rPr>
          <w:sz w:val="28"/>
          <w:szCs w:val="28"/>
          <w:lang w:val="kk-KZ"/>
        </w:rPr>
        <w:t>бұйымдарды</w:t>
      </w:r>
      <w:r w:rsidR="00216335"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9A17D9">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9A17D9">
        <w:rPr>
          <w:rFonts w:ascii="Times New Roman" w:hAnsi="Times New Roman"/>
          <w:sz w:val="28"/>
          <w:szCs w:val="20"/>
          <w:lang w:val="kk-KZ"/>
        </w:rPr>
        <w:t>28</w:t>
      </w:r>
      <w:r w:rsidRPr="00787B80">
        <w:rPr>
          <w:rFonts w:ascii="Times New Roman" w:hAnsi="Times New Roman"/>
          <w:sz w:val="28"/>
          <w:szCs w:val="20"/>
          <w:lang w:val="kk-KZ"/>
        </w:rPr>
        <w:t xml:space="preserve">» </w:t>
      </w:r>
      <w:r w:rsidR="009A17D9">
        <w:rPr>
          <w:rFonts w:ascii="Times New Roman" w:hAnsi="Times New Roman"/>
          <w:sz w:val="28"/>
          <w:szCs w:val="20"/>
          <w:lang w:val="kk-KZ"/>
        </w:rPr>
        <w:t>қыркүйек</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r w:rsidR="009A17D9">
        <w:rPr>
          <w:rFonts w:ascii="Times New Roman" w:hAnsi="Times New Roman"/>
          <w:sz w:val="28"/>
          <w:szCs w:val="20"/>
          <w:lang w:val="kk-KZ"/>
        </w:rPr>
        <w:t>ы</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B2570" w:rsidRPr="00ED0A3B">
        <w:rPr>
          <w:rFonts w:ascii="Times New Roman" w:hAnsi="Times New Roman"/>
          <w:bCs/>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16119F" w:rsidRDefault="0016119F" w:rsidP="00535A31">
      <w:pPr>
        <w:spacing w:after="0" w:line="240" w:lineRule="auto"/>
        <w:ind w:firstLine="708"/>
        <w:jc w:val="both"/>
        <w:rPr>
          <w:rFonts w:ascii="Times New Roman" w:hAnsi="Times New Roman"/>
          <w:b/>
          <w:sz w:val="28"/>
          <w:szCs w:val="28"/>
          <w:lang w:val="kk-KZ"/>
        </w:rPr>
      </w:pPr>
      <w:r w:rsidRPr="0016119F">
        <w:rPr>
          <w:rFonts w:ascii="Times New Roman" w:hAnsi="Times New Roman"/>
          <w:b/>
          <w:sz w:val="28"/>
          <w:szCs w:val="28"/>
          <w:lang w:val="kk-KZ"/>
        </w:rPr>
        <w:t>Жеткізу мерзімі: Тараптар Шартқа қол қойған сәттен бастап 15 күнтізбелік күн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9A17D9">
        <w:rPr>
          <w:rFonts w:ascii="Times New Roman" w:hAnsi="Times New Roman"/>
          <w:b/>
          <w:sz w:val="28"/>
          <w:szCs w:val="28"/>
          <w:lang w:val="kk-KZ"/>
        </w:rPr>
        <w:t>29</w:t>
      </w:r>
      <w:r w:rsidR="00286BA9"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9A17D9">
        <w:rPr>
          <w:rFonts w:ascii="Times New Roman" w:hAnsi="Times New Roman"/>
          <w:b/>
          <w:sz w:val="28"/>
          <w:szCs w:val="28"/>
          <w:lang w:val="kk-KZ"/>
        </w:rPr>
        <w:t>9</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9A17D9">
        <w:rPr>
          <w:rFonts w:ascii="Times New Roman" w:hAnsi="Times New Roman"/>
          <w:b/>
          <w:sz w:val="28"/>
          <w:szCs w:val="28"/>
          <w:lang w:val="kk-KZ"/>
        </w:rPr>
        <w:t>05</w:t>
      </w:r>
      <w:r w:rsidR="00492C4D" w:rsidRPr="00787B80">
        <w:rPr>
          <w:rFonts w:ascii="Times New Roman" w:hAnsi="Times New Roman"/>
          <w:b/>
          <w:sz w:val="28"/>
          <w:szCs w:val="28"/>
          <w:lang w:val="kk-KZ"/>
        </w:rPr>
        <w:t>.</w:t>
      </w:r>
      <w:r w:rsidR="009A17D9">
        <w:rPr>
          <w:rFonts w:ascii="Times New Roman" w:hAnsi="Times New Roman"/>
          <w:b/>
          <w:sz w:val="28"/>
          <w:szCs w:val="28"/>
          <w:lang w:val="kk-KZ"/>
        </w:rPr>
        <w:t>1</w:t>
      </w:r>
      <w:r w:rsidR="00E0555A" w:rsidRPr="00787B80">
        <w:rPr>
          <w:rFonts w:ascii="Times New Roman" w:hAnsi="Times New Roman"/>
          <w:b/>
          <w:sz w:val="28"/>
          <w:szCs w:val="28"/>
          <w:lang w:val="kk-KZ"/>
        </w:rPr>
        <w:t>0</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16119F">
        <w:rPr>
          <w:rFonts w:ascii="Times New Roman" w:hAnsi="Times New Roman"/>
          <w:b/>
          <w:sz w:val="28"/>
          <w:szCs w:val="28"/>
          <w:lang w:val="kk-KZ"/>
        </w:rPr>
        <w:t>0</w:t>
      </w:r>
      <w:r w:rsidR="009A17D9">
        <w:rPr>
          <w:rFonts w:ascii="Times New Roman" w:hAnsi="Times New Roman"/>
          <w:b/>
          <w:sz w:val="28"/>
          <w:szCs w:val="28"/>
          <w:lang w:val="kk-KZ"/>
        </w:rPr>
        <w:t>5</w:t>
      </w:r>
      <w:r w:rsidR="00492C4D" w:rsidRPr="00787B80">
        <w:rPr>
          <w:rFonts w:ascii="Times New Roman" w:hAnsi="Times New Roman"/>
          <w:b/>
          <w:sz w:val="28"/>
          <w:szCs w:val="28"/>
          <w:lang w:val="kk-KZ"/>
        </w:rPr>
        <w:t>.</w:t>
      </w:r>
      <w:r w:rsidR="009A17D9">
        <w:rPr>
          <w:rFonts w:ascii="Times New Roman" w:hAnsi="Times New Roman"/>
          <w:b/>
          <w:sz w:val="28"/>
          <w:szCs w:val="28"/>
          <w:lang w:val="kk-KZ"/>
        </w:rPr>
        <w:t>1</w:t>
      </w:r>
      <w:r w:rsidR="00E0555A" w:rsidRPr="00787B80">
        <w:rPr>
          <w:rFonts w:ascii="Times New Roman" w:hAnsi="Times New Roman"/>
          <w:b/>
          <w:sz w:val="28"/>
          <w:szCs w:val="28"/>
          <w:lang w:val="kk-KZ"/>
        </w:rPr>
        <w:t>0</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r w:rsidR="009A17D9">
        <w:rPr>
          <w:rFonts w:ascii="Times New Roman" w:hAnsi="Times New Roman"/>
          <w:sz w:val="28"/>
          <w:szCs w:val="28"/>
          <w:lang w:val="kk-KZ"/>
        </w:rPr>
        <w:t xml:space="preserve">/ </w:t>
      </w: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9A17D9" w:rsidRDefault="009A17D9"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9A17D9">
        <w:rPr>
          <w:rFonts w:ascii="Times New Roman" w:hAnsi="Times New Roman"/>
          <w:b/>
          <w:bCs/>
          <w:sz w:val="28"/>
          <w:szCs w:val="28"/>
          <w:lang w:val="kk-KZ"/>
        </w:rPr>
        <w:t>37</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9A17D9">
        <w:rPr>
          <w:rFonts w:ascii="Times New Roman" w:hAnsi="Times New Roman"/>
          <w:sz w:val="28"/>
          <w:szCs w:val="20"/>
          <w:lang w:val="kk-KZ"/>
        </w:rPr>
        <w:t>28</w:t>
      </w:r>
      <w:r w:rsidRPr="005317B9">
        <w:rPr>
          <w:rFonts w:ascii="Times New Roman" w:hAnsi="Times New Roman"/>
          <w:sz w:val="28"/>
          <w:szCs w:val="20"/>
        </w:rPr>
        <w:t>»</w:t>
      </w:r>
      <w:r w:rsidR="00217FA5" w:rsidRPr="005317B9">
        <w:rPr>
          <w:rFonts w:ascii="Times New Roman" w:hAnsi="Times New Roman"/>
          <w:sz w:val="28"/>
          <w:szCs w:val="20"/>
        </w:rPr>
        <w:t xml:space="preserve"> </w:t>
      </w:r>
      <w:r w:rsidR="009A17D9">
        <w:rPr>
          <w:rFonts w:ascii="Times New Roman" w:hAnsi="Times New Roman"/>
          <w:sz w:val="28"/>
          <w:szCs w:val="20"/>
          <w:lang w:val="kk-KZ"/>
        </w:rPr>
        <w:t xml:space="preserve">сентября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 xml:space="preserve">в течение 15 </w:t>
      </w:r>
      <w:r w:rsidR="0016119F">
        <w:rPr>
          <w:rStyle w:val="s0"/>
          <w:b/>
          <w:sz w:val="28"/>
          <w:szCs w:val="28"/>
        </w:rPr>
        <w:t>календарны</w:t>
      </w:r>
      <w:r w:rsidR="005317B9" w:rsidRPr="005317B9">
        <w:rPr>
          <w:rStyle w:val="s0"/>
          <w:b/>
          <w:sz w:val="28"/>
          <w:szCs w:val="28"/>
        </w:rPr>
        <w:t>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9A17D9">
        <w:rPr>
          <w:rFonts w:ascii="Times New Roman" w:hAnsi="Times New Roman"/>
          <w:b/>
          <w:sz w:val="28"/>
          <w:szCs w:val="28"/>
          <w:lang w:val="kk-KZ"/>
        </w:rPr>
        <w:t>29</w:t>
      </w:r>
      <w:r w:rsidR="00270C80"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9A17D9">
        <w:rPr>
          <w:rFonts w:ascii="Times New Roman" w:hAnsi="Times New Roman"/>
          <w:b/>
          <w:sz w:val="28"/>
          <w:szCs w:val="28"/>
          <w:lang w:val="kk-KZ"/>
        </w:rPr>
        <w:t>9</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16119F">
        <w:rPr>
          <w:rFonts w:ascii="Times New Roman" w:hAnsi="Times New Roman"/>
          <w:b/>
          <w:sz w:val="28"/>
          <w:szCs w:val="28"/>
        </w:rPr>
        <w:t>0</w:t>
      </w:r>
      <w:r w:rsidR="009A17D9">
        <w:rPr>
          <w:rFonts w:ascii="Times New Roman" w:hAnsi="Times New Roman"/>
          <w:b/>
          <w:sz w:val="28"/>
          <w:szCs w:val="28"/>
          <w:lang w:val="kk-KZ"/>
        </w:rPr>
        <w:t>5</w:t>
      </w:r>
      <w:r w:rsidR="00492C4D" w:rsidRPr="005317B9">
        <w:rPr>
          <w:rFonts w:ascii="Times New Roman" w:hAnsi="Times New Roman"/>
          <w:b/>
          <w:sz w:val="28"/>
          <w:szCs w:val="28"/>
        </w:rPr>
        <w:t>.</w:t>
      </w:r>
      <w:r w:rsidR="009A17D9">
        <w:rPr>
          <w:rFonts w:ascii="Times New Roman" w:hAnsi="Times New Roman"/>
          <w:b/>
          <w:sz w:val="28"/>
          <w:szCs w:val="28"/>
          <w:lang w:val="kk-KZ"/>
        </w:rPr>
        <w:t>1</w:t>
      </w:r>
      <w:r w:rsidR="00E0555A" w:rsidRPr="005317B9">
        <w:rPr>
          <w:rFonts w:ascii="Times New Roman" w:hAnsi="Times New Roman"/>
          <w:b/>
          <w:sz w:val="28"/>
          <w:szCs w:val="28"/>
          <w:lang w:val="kk-KZ"/>
        </w:rPr>
        <w:t>0</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9A17D9">
        <w:rPr>
          <w:rFonts w:ascii="Times New Roman" w:hAnsi="Times New Roman"/>
          <w:b/>
          <w:sz w:val="28"/>
          <w:szCs w:val="28"/>
          <w:lang w:val="kk-KZ"/>
        </w:rPr>
        <w:t>05</w:t>
      </w:r>
      <w:r w:rsidR="001261B3" w:rsidRPr="005317B9">
        <w:rPr>
          <w:rFonts w:ascii="Times New Roman" w:hAnsi="Times New Roman"/>
          <w:b/>
          <w:sz w:val="28"/>
          <w:szCs w:val="28"/>
          <w:lang w:val="kk-KZ"/>
        </w:rPr>
        <w:t>.</w:t>
      </w:r>
      <w:r w:rsidR="009A17D9">
        <w:rPr>
          <w:rFonts w:ascii="Times New Roman" w:hAnsi="Times New Roman"/>
          <w:b/>
          <w:sz w:val="28"/>
          <w:szCs w:val="28"/>
          <w:lang w:val="kk-KZ"/>
        </w:rPr>
        <w:t>1</w:t>
      </w:r>
      <w:r w:rsidR="00E0555A" w:rsidRPr="005317B9">
        <w:rPr>
          <w:rFonts w:ascii="Times New Roman" w:hAnsi="Times New Roman"/>
          <w:b/>
          <w:sz w:val="28"/>
          <w:szCs w:val="28"/>
          <w:lang w:val="kk-KZ"/>
        </w:rPr>
        <w:t>0</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полученные посредством</w:t>
      </w:r>
      <w:r w:rsidR="009A17D9">
        <w:rPr>
          <w:sz w:val="28"/>
          <w:szCs w:val="28"/>
        </w:rPr>
        <w:t xml:space="preserve"> веб-портала </w:t>
      </w:r>
      <w:r w:rsidR="007D6E5D">
        <w:rPr>
          <w:sz w:val="28"/>
          <w:szCs w:val="28"/>
        </w:rPr>
        <w:t>«</w:t>
      </w:r>
      <w:r w:rsidRPr="005317B9">
        <w:rPr>
          <w:sz w:val="28"/>
          <w:szCs w:val="28"/>
        </w:rPr>
        <w:t>электронного правительства</w:t>
      </w:r>
      <w:r w:rsidR="007D6E5D">
        <w:rPr>
          <w:sz w:val="28"/>
          <w:szCs w:val="28"/>
        </w:rPr>
        <w:t>»</w:t>
      </w:r>
      <w:r w:rsidRPr="005317B9">
        <w:rPr>
          <w:sz w:val="28"/>
          <w:szCs w:val="28"/>
        </w:rPr>
        <w:t xml:space="preserve"> или веб-приложения </w:t>
      </w:r>
      <w:r w:rsidR="007D6E5D">
        <w:rPr>
          <w:sz w:val="28"/>
          <w:szCs w:val="28"/>
        </w:rPr>
        <w:t>«</w:t>
      </w:r>
      <w:r w:rsidRPr="005317B9">
        <w:rPr>
          <w:sz w:val="28"/>
          <w:szCs w:val="28"/>
        </w:rPr>
        <w:t>кабинет налогоплательщика</w:t>
      </w:r>
      <w:r w:rsidR="007D6E5D">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BE16DC">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9A17D9">
        <w:rPr>
          <w:rFonts w:ascii="Times New Roman" w:hAnsi="Times New Roman"/>
          <w:i/>
          <w:sz w:val="20"/>
          <w:szCs w:val="20"/>
          <w:lang w:val="kk-KZ"/>
        </w:rPr>
        <w:t>37</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0489" w:type="dxa"/>
        <w:tblInd w:w="534" w:type="dxa"/>
        <w:tblLayout w:type="fixed"/>
        <w:tblLook w:val="04A0"/>
      </w:tblPr>
      <w:tblGrid>
        <w:gridCol w:w="850"/>
        <w:gridCol w:w="1985"/>
        <w:gridCol w:w="3260"/>
        <w:gridCol w:w="1276"/>
        <w:gridCol w:w="850"/>
        <w:gridCol w:w="1134"/>
        <w:gridCol w:w="1134"/>
      </w:tblGrid>
      <w:tr w:rsidR="00E96ACA" w:rsidRPr="00E96ACA" w:rsidTr="007D6E5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лота</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Наименование</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Краткая характеристика</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Ед.</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изм.</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Кол-во</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Цена,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тн.</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Сумма, тн.</w:t>
            </w:r>
          </w:p>
        </w:tc>
      </w:tr>
      <w:tr w:rsidR="00A944C0" w:rsidRPr="00E96ACA" w:rsidTr="007D6E5D">
        <w:trPr>
          <w:trHeight w:val="118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0E5CFC" w:rsidRDefault="00A944C0"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F32D3" w:rsidRDefault="009A17D9"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lang w:val="kk-KZ"/>
              </w:rPr>
              <w:t>Гель для УЗИ</w:t>
            </w:r>
            <w:r w:rsidR="0016119F">
              <w:rPr>
                <w:rFonts w:ascii="Times New Roman" w:hAnsi="Times New Roman"/>
                <w:bCs/>
                <w:color w:val="000000"/>
                <w:sz w:val="26"/>
                <w:szCs w:val="26"/>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7D6E5D" w:rsidRDefault="009A17D9" w:rsidP="007D6E5D">
            <w:pPr>
              <w:spacing w:after="0" w:line="240" w:lineRule="auto"/>
              <w:rPr>
                <w:rFonts w:ascii="Times New Roman" w:hAnsi="Times New Roman"/>
                <w:bCs/>
                <w:color w:val="000000"/>
                <w:sz w:val="26"/>
                <w:szCs w:val="26"/>
                <w:lang w:val="kk-KZ"/>
              </w:rPr>
            </w:pPr>
            <w:r>
              <w:rPr>
                <w:rFonts w:ascii="Times New Roman" w:hAnsi="Times New Roman"/>
                <w:bCs/>
                <w:color w:val="000000"/>
                <w:sz w:val="26"/>
                <w:szCs w:val="26"/>
                <w:lang w:val="kk-KZ"/>
              </w:rPr>
              <w:t xml:space="preserve">Гель для УЗИ универсальный, </w:t>
            </w:r>
            <w:r w:rsidR="007D6E5D">
              <w:rPr>
                <w:rFonts w:ascii="Times New Roman" w:hAnsi="Times New Roman"/>
                <w:bCs/>
                <w:color w:val="000000"/>
                <w:sz w:val="26"/>
                <w:szCs w:val="26"/>
                <w:lang w:val="kk-KZ"/>
              </w:rPr>
              <w:t>применяется для всех ультразвуковых процедур</w:t>
            </w:r>
          </w:p>
          <w:p w:rsidR="00A944C0" w:rsidRPr="009A17D9" w:rsidRDefault="009A17D9" w:rsidP="007D6E5D">
            <w:pPr>
              <w:spacing w:after="0" w:line="240" w:lineRule="auto"/>
              <w:rPr>
                <w:rFonts w:ascii="Times New Roman" w:hAnsi="Times New Roman"/>
                <w:bCs/>
                <w:color w:val="000000"/>
                <w:sz w:val="26"/>
                <w:szCs w:val="26"/>
                <w:lang w:val="kk-KZ"/>
              </w:rPr>
            </w:pPr>
            <w:r>
              <w:rPr>
                <w:rFonts w:ascii="Times New Roman" w:hAnsi="Times New Roman"/>
                <w:bCs/>
                <w:color w:val="000000"/>
                <w:sz w:val="26"/>
                <w:szCs w:val="26"/>
                <w:lang w:val="kk-KZ"/>
              </w:rPr>
              <w:t>5 кг канистра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944C0" w:rsidRPr="009A17D9" w:rsidRDefault="009A17D9" w:rsidP="00F37EBF">
            <w:pPr>
              <w:spacing w:after="0" w:line="240" w:lineRule="auto"/>
              <w:jc w:val="center"/>
              <w:rPr>
                <w:rFonts w:ascii="Times New Roman" w:hAnsi="Times New Roman"/>
                <w:bCs/>
                <w:color w:val="000000"/>
                <w:sz w:val="26"/>
                <w:szCs w:val="26"/>
                <w:lang w:val="kk-KZ"/>
              </w:rPr>
            </w:pPr>
            <w:r>
              <w:rPr>
                <w:rFonts w:ascii="Times New Roman" w:hAnsi="Times New Roman"/>
                <w:bCs/>
                <w:color w:val="000000"/>
                <w:sz w:val="26"/>
                <w:szCs w:val="26"/>
                <w:lang w:val="kk-KZ"/>
              </w:rPr>
              <w:t>канистра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E5CFC" w:rsidRDefault="009A17D9"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9A17D9" w:rsidP="007D6E5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3</w:t>
            </w:r>
            <w:r w:rsidR="007D6E5D">
              <w:rPr>
                <w:rFonts w:ascii="Times New Roman" w:hAnsi="Times New Roman"/>
                <w:bCs/>
                <w:color w:val="000000"/>
                <w:sz w:val="26"/>
                <w:szCs w:val="26"/>
              </w:rPr>
              <w:t>50</w:t>
            </w:r>
            <w:r>
              <w:rPr>
                <w:rFonts w:ascii="Times New Roman" w:hAnsi="Times New Roman"/>
                <w:bCs/>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9A17D9" w:rsidP="007D6E5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21</w:t>
            </w:r>
            <w:r w:rsidR="007D6E5D">
              <w:rPr>
                <w:rFonts w:ascii="Times New Roman" w:hAnsi="Times New Roman"/>
                <w:bCs/>
                <w:color w:val="000000"/>
                <w:sz w:val="26"/>
                <w:szCs w:val="26"/>
              </w:rPr>
              <w:t>00</w:t>
            </w:r>
            <w:r>
              <w:rPr>
                <w:rFonts w:ascii="Times New Roman" w:hAnsi="Times New Roman"/>
                <w:bCs/>
                <w:color w:val="000000"/>
                <w:sz w:val="26"/>
                <w:szCs w:val="26"/>
              </w:rPr>
              <w:t>0</w:t>
            </w:r>
          </w:p>
        </w:tc>
      </w:tr>
      <w:tr w:rsidR="00E96ACA" w:rsidRPr="00E96ACA" w:rsidTr="00EE1D2E">
        <w:trPr>
          <w:trHeight w:val="255"/>
        </w:trPr>
        <w:tc>
          <w:tcPr>
            <w:tcW w:w="10489" w:type="dxa"/>
            <w:gridSpan w:val="7"/>
            <w:tcBorders>
              <w:top w:val="nil"/>
              <w:left w:val="single" w:sz="4" w:space="0" w:color="auto"/>
              <w:bottom w:val="nil"/>
              <w:right w:val="single" w:sz="4" w:space="0" w:color="auto"/>
            </w:tcBorders>
            <w:shd w:val="clear" w:color="000000" w:fill="ACB9CA"/>
          </w:tcPr>
          <w:p w:rsidR="00C87E19" w:rsidRPr="000E5CFC" w:rsidRDefault="00C87E19" w:rsidP="00F37EBF">
            <w:pPr>
              <w:spacing w:after="0" w:line="240" w:lineRule="auto"/>
              <w:jc w:val="center"/>
              <w:rPr>
                <w:rFonts w:ascii="Times New Roman" w:hAnsi="Times New Roman"/>
                <w:b/>
                <w:bCs/>
                <w:sz w:val="26"/>
                <w:szCs w:val="26"/>
              </w:rPr>
            </w:pPr>
          </w:p>
          <w:p w:rsidR="00E96ACA" w:rsidRPr="000E5CFC" w:rsidRDefault="00E96ACA" w:rsidP="007D6E5D">
            <w:pPr>
              <w:spacing w:after="0" w:line="240" w:lineRule="auto"/>
              <w:jc w:val="center"/>
              <w:rPr>
                <w:rFonts w:ascii="Times New Roman" w:hAnsi="Times New Roman"/>
                <w:b/>
                <w:bCs/>
                <w:sz w:val="26"/>
                <w:szCs w:val="26"/>
              </w:rPr>
            </w:pPr>
            <w:r w:rsidRPr="000E5CFC">
              <w:rPr>
                <w:rFonts w:ascii="Times New Roman" w:hAnsi="Times New Roman"/>
                <w:b/>
                <w:bCs/>
                <w:sz w:val="26"/>
                <w:szCs w:val="26"/>
              </w:rPr>
              <w:t>ИТОГО</w:t>
            </w:r>
            <w:r w:rsidRPr="008D4CDE">
              <w:rPr>
                <w:rFonts w:ascii="Times New Roman" w:hAnsi="Times New Roman"/>
                <w:b/>
                <w:bCs/>
                <w:sz w:val="26"/>
                <w:szCs w:val="26"/>
              </w:rPr>
              <w:t xml:space="preserve">:  </w:t>
            </w:r>
            <w:r w:rsidR="009A17D9">
              <w:rPr>
                <w:rFonts w:ascii="Times New Roman" w:hAnsi="Times New Roman"/>
                <w:b/>
                <w:bCs/>
                <w:sz w:val="26"/>
                <w:szCs w:val="26"/>
                <w:lang w:val="kk-KZ"/>
              </w:rPr>
              <w:t>21</w:t>
            </w:r>
            <w:r w:rsidRPr="008D4CDE">
              <w:rPr>
                <w:rFonts w:ascii="Times New Roman" w:hAnsi="Times New Roman"/>
                <w:b/>
                <w:bCs/>
                <w:sz w:val="26"/>
                <w:szCs w:val="26"/>
                <w:lang w:val="kk-KZ"/>
              </w:rPr>
              <w:t xml:space="preserve"> </w:t>
            </w:r>
            <w:r w:rsidR="007D6E5D">
              <w:rPr>
                <w:rFonts w:ascii="Times New Roman" w:hAnsi="Times New Roman"/>
                <w:b/>
                <w:bCs/>
                <w:sz w:val="26"/>
                <w:szCs w:val="26"/>
                <w:lang w:val="kk-KZ"/>
              </w:rPr>
              <w:t>00</w:t>
            </w:r>
            <w:r w:rsidRPr="008D4CDE">
              <w:rPr>
                <w:rFonts w:ascii="Times New Roman" w:hAnsi="Times New Roman"/>
                <w:b/>
                <w:bCs/>
                <w:sz w:val="26"/>
                <w:szCs w:val="26"/>
                <w:lang w:val="kk-KZ"/>
              </w:rPr>
              <w:t>0</w:t>
            </w:r>
            <w:r w:rsidRPr="008D4CDE">
              <w:rPr>
                <w:rFonts w:ascii="Times New Roman" w:hAnsi="Times New Roman"/>
                <w:b/>
                <w:sz w:val="26"/>
                <w:szCs w:val="26"/>
              </w:rPr>
              <w:t>,</w:t>
            </w:r>
            <w:r w:rsidRPr="008D4CDE">
              <w:rPr>
                <w:rFonts w:ascii="Times New Roman" w:hAnsi="Times New Roman"/>
                <w:b/>
                <w:sz w:val="26"/>
                <w:szCs w:val="26"/>
                <w:lang w:val="kk-KZ"/>
              </w:rPr>
              <w:t>0</w:t>
            </w:r>
            <w:r w:rsidRPr="008D4CDE">
              <w:rPr>
                <w:sz w:val="26"/>
                <w:szCs w:val="26"/>
              </w:rPr>
              <w:t xml:space="preserve"> </w:t>
            </w:r>
            <w:r w:rsidRPr="008D4CDE">
              <w:rPr>
                <w:rFonts w:ascii="Times New Roman" w:hAnsi="Times New Roman"/>
                <w:b/>
                <w:sz w:val="26"/>
                <w:szCs w:val="26"/>
              </w:rPr>
              <w:t>(</w:t>
            </w:r>
            <w:r w:rsidR="009A17D9">
              <w:rPr>
                <w:rFonts w:ascii="Times New Roman" w:hAnsi="Times New Roman"/>
                <w:b/>
                <w:sz w:val="26"/>
                <w:szCs w:val="26"/>
              </w:rPr>
              <w:t xml:space="preserve">двадцать одна </w:t>
            </w:r>
            <w:r w:rsidR="008D4CDE" w:rsidRPr="008D4CDE">
              <w:rPr>
                <w:rFonts w:ascii="Times New Roman" w:hAnsi="Times New Roman"/>
                <w:b/>
                <w:sz w:val="26"/>
                <w:szCs w:val="26"/>
              </w:rPr>
              <w:t>тыся</w:t>
            </w:r>
            <w:r w:rsidR="00F37EBF" w:rsidRPr="008D4CDE">
              <w:rPr>
                <w:rFonts w:ascii="Times New Roman" w:hAnsi="Times New Roman"/>
                <w:b/>
                <w:sz w:val="26"/>
                <w:szCs w:val="26"/>
              </w:rPr>
              <w:t>ч</w:t>
            </w:r>
            <w:r w:rsidR="009A17D9">
              <w:rPr>
                <w:rFonts w:ascii="Times New Roman" w:hAnsi="Times New Roman"/>
                <w:b/>
                <w:sz w:val="26"/>
                <w:szCs w:val="26"/>
              </w:rPr>
              <w:t>а</w:t>
            </w:r>
            <w:r w:rsidR="007D6E5D">
              <w:rPr>
                <w:rFonts w:ascii="Times New Roman" w:hAnsi="Times New Roman"/>
                <w:b/>
                <w:sz w:val="26"/>
                <w:szCs w:val="26"/>
              </w:rPr>
              <w:t>)</w:t>
            </w:r>
            <w:r w:rsidRPr="008D4CDE">
              <w:rPr>
                <w:rFonts w:ascii="Times New Roman" w:hAnsi="Times New Roman"/>
                <w:b/>
                <w:sz w:val="26"/>
                <w:szCs w:val="26"/>
              </w:rPr>
              <w:t xml:space="preserve"> тенге ноль тиын</w:t>
            </w:r>
          </w:p>
        </w:tc>
      </w:tr>
      <w:tr w:rsidR="00E96ACA" w:rsidRPr="00E0555A" w:rsidTr="00EE1D2E">
        <w:trPr>
          <w:trHeight w:val="90"/>
        </w:trPr>
        <w:tc>
          <w:tcPr>
            <w:tcW w:w="10489" w:type="dxa"/>
            <w:gridSpan w:val="7"/>
            <w:tcBorders>
              <w:top w:val="nil"/>
              <w:left w:val="single" w:sz="4" w:space="0" w:color="auto"/>
              <w:bottom w:val="single" w:sz="4" w:space="0" w:color="auto"/>
              <w:right w:val="single" w:sz="4" w:space="0" w:color="auto"/>
            </w:tcBorders>
            <w:shd w:val="clear" w:color="000000" w:fill="ACB9CA"/>
          </w:tcPr>
          <w:p w:rsidR="00E96ACA" w:rsidRPr="00692B56" w:rsidRDefault="00E96ACA" w:rsidP="009F596B">
            <w:pPr>
              <w:spacing w:after="0" w:line="240" w:lineRule="auto"/>
              <w:jc w:val="center"/>
              <w:rPr>
                <w:rFonts w:ascii="Times New Roman" w:hAnsi="Times New Roman"/>
                <w:b/>
                <w:bCs/>
                <w:sz w:val="28"/>
                <w:szCs w:val="28"/>
                <w:highlight w:val="yellow"/>
              </w:rPr>
            </w:pP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w:t>
      </w:r>
      <w:r w:rsidRPr="00E00619">
        <w:lastRenderedPageBreak/>
        <w:t>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9A17D9" w:rsidRDefault="009A17D9" w:rsidP="00E00619">
      <w:pPr>
        <w:shd w:val="clear" w:color="auto" w:fill="FFFFFF"/>
        <w:tabs>
          <w:tab w:val="left" w:pos="14145"/>
        </w:tabs>
        <w:spacing w:after="0"/>
        <w:ind w:left="426" w:right="-1"/>
        <w:jc w:val="right"/>
        <w:rPr>
          <w:rStyle w:val="s0"/>
          <w:i/>
          <w:sz w:val="20"/>
          <w:szCs w:val="20"/>
        </w:rPr>
      </w:pPr>
    </w:p>
    <w:p w:rsidR="009A17D9" w:rsidRDefault="009A17D9" w:rsidP="00E00619">
      <w:pPr>
        <w:shd w:val="clear" w:color="auto" w:fill="FFFFFF"/>
        <w:tabs>
          <w:tab w:val="left" w:pos="14145"/>
        </w:tabs>
        <w:spacing w:after="0"/>
        <w:ind w:left="426" w:right="-1"/>
        <w:jc w:val="right"/>
        <w:rPr>
          <w:rStyle w:val="s0"/>
          <w:i/>
          <w:sz w:val="20"/>
          <w:szCs w:val="20"/>
        </w:rPr>
      </w:pPr>
    </w:p>
    <w:p w:rsidR="009A17D9" w:rsidRDefault="009A17D9" w:rsidP="00E00619">
      <w:pPr>
        <w:shd w:val="clear" w:color="auto" w:fill="FFFFFF"/>
        <w:tabs>
          <w:tab w:val="left" w:pos="14145"/>
        </w:tabs>
        <w:spacing w:after="0"/>
        <w:ind w:left="426" w:right="-1"/>
        <w:jc w:val="right"/>
        <w:rPr>
          <w:rStyle w:val="s0"/>
          <w:i/>
          <w:sz w:val="20"/>
          <w:szCs w:val="20"/>
        </w:rPr>
      </w:pPr>
    </w:p>
    <w:p w:rsidR="009A17D9" w:rsidRDefault="009A17D9" w:rsidP="00E00619">
      <w:pPr>
        <w:shd w:val="clear" w:color="auto" w:fill="FFFFFF"/>
        <w:tabs>
          <w:tab w:val="left" w:pos="14145"/>
        </w:tabs>
        <w:spacing w:after="0"/>
        <w:ind w:left="426" w:right="-1"/>
        <w:jc w:val="right"/>
        <w:rPr>
          <w:rStyle w:val="s0"/>
          <w:i/>
          <w:sz w:val="20"/>
          <w:szCs w:val="20"/>
        </w:rPr>
      </w:pPr>
    </w:p>
    <w:p w:rsidR="009A17D9" w:rsidRDefault="009A17D9" w:rsidP="00E00619">
      <w:pPr>
        <w:shd w:val="clear" w:color="auto" w:fill="FFFFFF"/>
        <w:tabs>
          <w:tab w:val="left" w:pos="14145"/>
        </w:tabs>
        <w:spacing w:after="0"/>
        <w:ind w:left="426" w:right="-1"/>
        <w:jc w:val="right"/>
        <w:rPr>
          <w:rStyle w:val="s0"/>
          <w:i/>
          <w:sz w:val="20"/>
          <w:szCs w:val="20"/>
        </w:rPr>
      </w:pPr>
    </w:p>
    <w:p w:rsidR="009A17D9" w:rsidRDefault="009A17D9" w:rsidP="00E00619">
      <w:pPr>
        <w:shd w:val="clear" w:color="auto" w:fill="FFFFFF"/>
        <w:tabs>
          <w:tab w:val="left" w:pos="14145"/>
        </w:tabs>
        <w:spacing w:after="0"/>
        <w:ind w:left="426" w:right="-1"/>
        <w:jc w:val="right"/>
        <w:rPr>
          <w:rStyle w:val="s0"/>
          <w:i/>
          <w:sz w:val="20"/>
          <w:szCs w:val="20"/>
        </w:rPr>
      </w:pPr>
    </w:p>
    <w:p w:rsidR="009A17D9" w:rsidRDefault="009A17D9" w:rsidP="00E00619">
      <w:pPr>
        <w:shd w:val="clear" w:color="auto" w:fill="FFFFFF"/>
        <w:tabs>
          <w:tab w:val="left" w:pos="14145"/>
        </w:tabs>
        <w:spacing w:after="0"/>
        <w:ind w:left="426" w:right="-1"/>
        <w:jc w:val="right"/>
        <w:rPr>
          <w:rStyle w:val="s0"/>
          <w:i/>
          <w:sz w:val="20"/>
          <w:szCs w:val="20"/>
        </w:rPr>
      </w:pPr>
    </w:p>
    <w:p w:rsidR="009A17D9" w:rsidRDefault="009A17D9" w:rsidP="00E00619">
      <w:pPr>
        <w:shd w:val="clear" w:color="auto" w:fill="FFFFFF"/>
        <w:tabs>
          <w:tab w:val="left" w:pos="14145"/>
        </w:tabs>
        <w:spacing w:after="0"/>
        <w:ind w:left="426" w:right="-1"/>
        <w:jc w:val="right"/>
        <w:rPr>
          <w:rStyle w:val="s0"/>
          <w:i/>
          <w:sz w:val="20"/>
          <w:szCs w:val="20"/>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lastRenderedPageBreak/>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9A17D9">
        <w:rPr>
          <w:rFonts w:ascii="Times New Roman" w:hAnsi="Times New Roman"/>
          <w:i/>
          <w:sz w:val="20"/>
          <w:szCs w:val="20"/>
        </w:rPr>
        <w:t>37</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sidR="00216335">
        <w:rPr>
          <w:rFonts w:ascii="Times New Roman" w:hAnsi="Times New Roman"/>
          <w:i/>
          <w:sz w:val="20"/>
          <w:szCs w:val="20"/>
        </w:rPr>
        <w:t xml:space="preserve"> </w:t>
      </w: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538" w:rsidRDefault="008B7538" w:rsidP="004B5FBC">
      <w:pPr>
        <w:spacing w:after="0" w:line="240" w:lineRule="auto"/>
      </w:pPr>
      <w:r>
        <w:separator/>
      </w:r>
    </w:p>
  </w:endnote>
  <w:endnote w:type="continuationSeparator" w:id="1">
    <w:p w:rsidR="008B7538" w:rsidRDefault="008B753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538" w:rsidRDefault="008B7538" w:rsidP="004B5FBC">
      <w:pPr>
        <w:spacing w:after="0" w:line="240" w:lineRule="auto"/>
      </w:pPr>
      <w:r>
        <w:separator/>
      </w:r>
    </w:p>
  </w:footnote>
  <w:footnote w:type="continuationSeparator" w:id="1">
    <w:p w:rsidR="008B7538" w:rsidRDefault="008B753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6119F"/>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1139"/>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6E5D"/>
    <w:rsid w:val="007D7AAF"/>
    <w:rsid w:val="007D7D79"/>
    <w:rsid w:val="007E0780"/>
    <w:rsid w:val="007E26C4"/>
    <w:rsid w:val="007E3614"/>
    <w:rsid w:val="007F0C3A"/>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B7538"/>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6F71"/>
    <w:rsid w:val="009A1394"/>
    <w:rsid w:val="009A17D9"/>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428"/>
    <w:rsid w:val="00A63812"/>
    <w:rsid w:val="00A71BDD"/>
    <w:rsid w:val="00A73989"/>
    <w:rsid w:val="00A73A97"/>
    <w:rsid w:val="00A73F4A"/>
    <w:rsid w:val="00A73F9F"/>
    <w:rsid w:val="00A770CA"/>
    <w:rsid w:val="00A8093C"/>
    <w:rsid w:val="00A841D8"/>
    <w:rsid w:val="00A87A66"/>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01E2"/>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0619"/>
    <w:rsid w:val="00E0130C"/>
    <w:rsid w:val="00E0303F"/>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16119F"/>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3403</TotalTime>
  <Pages>1</Pages>
  <Words>3529</Words>
  <Characters>20116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23598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2018-05-29T03:45:00Z</cp:lastPrinted>
  <dcterms:created xsi:type="dcterms:W3CDTF">2020-07-24T07:50:00Z</dcterms:created>
  <dcterms:modified xsi:type="dcterms:W3CDTF">2021-09-28T07:07:00Z</dcterms:modified>
</cp:coreProperties>
</file>